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
    <w:p/>
    <w:p/>
    <w:p/>
    <w:p/>
    <w:p/>
    <w:p>
      <w:pPr>
        <w:jc w:val="center"/>
        <w:rPr>
          <w:rFonts w:ascii="宋体" w:hAnsi="宋体" w:eastAsia="宋体"/>
          <w:b/>
          <w:bCs/>
          <w:sz w:val="44"/>
          <w:szCs w:val="44"/>
        </w:rPr>
      </w:pPr>
      <w:r>
        <w:rPr>
          <w:rFonts w:hint="eastAsia" w:ascii="宋体" w:hAnsi="宋体" w:eastAsia="宋体"/>
          <w:b/>
          <w:bCs/>
          <w:sz w:val="44"/>
          <w:szCs w:val="44"/>
        </w:rPr>
        <w:t>通化县</w:t>
      </w:r>
      <w:r>
        <w:rPr>
          <w:rFonts w:hint="eastAsia" w:ascii="宋体" w:hAnsi="宋体" w:eastAsia="宋体"/>
          <w:b/>
          <w:bCs/>
          <w:sz w:val="44"/>
          <w:szCs w:val="44"/>
          <w:lang w:eastAsia="zh-CN"/>
        </w:rPr>
        <w:t>人民法院</w:t>
      </w:r>
      <w:r>
        <w:rPr>
          <w:rFonts w:hint="eastAsia" w:ascii="宋体" w:hAnsi="宋体" w:eastAsia="宋体"/>
          <w:b/>
          <w:bCs/>
          <w:sz w:val="44"/>
          <w:szCs w:val="44"/>
        </w:rPr>
        <w:t>201</w:t>
      </w:r>
      <w:r>
        <w:rPr>
          <w:rFonts w:hint="eastAsia" w:ascii="宋体" w:hAnsi="宋体" w:eastAsia="宋体"/>
          <w:b/>
          <w:bCs/>
          <w:sz w:val="44"/>
          <w:szCs w:val="44"/>
          <w:lang w:val="en-US" w:eastAsia="zh-CN"/>
        </w:rPr>
        <w:t>6</w:t>
      </w:r>
      <w:r>
        <w:rPr>
          <w:rFonts w:hint="eastAsia" w:ascii="宋体" w:hAnsi="宋体" w:eastAsia="宋体"/>
          <w:b/>
          <w:bCs/>
          <w:sz w:val="44"/>
          <w:szCs w:val="44"/>
        </w:rPr>
        <w:t>年部门决算</w:t>
      </w:r>
    </w:p>
    <w:p/>
    <w:p/>
    <w:p/>
    <w:p/>
    <w:p/>
    <w:p/>
    <w:p/>
    <w:p/>
    <w:p/>
    <w:p/>
    <w:p/>
    <w:p>
      <w:pPr>
        <w:jc w:val="center"/>
        <w:rPr>
          <w:rFonts w:asciiTheme="majorEastAsia" w:hAnsiTheme="majorEastAsia" w:eastAsiaTheme="majorEastAsia"/>
          <w:sz w:val="32"/>
          <w:szCs w:val="32"/>
        </w:rPr>
      </w:pPr>
      <w:r>
        <w:rPr>
          <w:rFonts w:asciiTheme="majorEastAsia" w:hAnsiTheme="majorEastAsia" w:eastAsiaTheme="majorEastAsia"/>
          <w:sz w:val="32"/>
          <w:szCs w:val="32"/>
        </w:rPr>
        <w:t>二〇一</w:t>
      </w:r>
      <w:r>
        <w:rPr>
          <w:rFonts w:hint="eastAsia" w:asciiTheme="majorEastAsia" w:hAnsiTheme="majorEastAsia" w:eastAsiaTheme="majorEastAsia"/>
          <w:sz w:val="32"/>
          <w:szCs w:val="32"/>
          <w:lang w:eastAsia="zh-CN"/>
        </w:rPr>
        <w:t>七</w:t>
      </w:r>
      <w:r>
        <w:rPr>
          <w:rFonts w:asciiTheme="majorEastAsia" w:hAnsiTheme="majorEastAsia" w:eastAsiaTheme="majorEastAsia"/>
          <w:sz w:val="32"/>
          <w:szCs w:val="32"/>
        </w:rPr>
        <w:t>年</w:t>
      </w:r>
      <w:r>
        <w:rPr>
          <w:rFonts w:hint="eastAsia" w:asciiTheme="majorEastAsia" w:hAnsiTheme="majorEastAsia" w:eastAsiaTheme="majorEastAsia"/>
          <w:sz w:val="32"/>
          <w:szCs w:val="32"/>
          <w:lang w:eastAsia="zh-CN"/>
        </w:rPr>
        <w:t>十二</w:t>
      </w:r>
      <w:r>
        <w:rPr>
          <w:rFonts w:asciiTheme="majorEastAsia" w:hAnsiTheme="majorEastAsia" w:eastAsiaTheme="majorEastAsia"/>
          <w:sz w:val="32"/>
          <w:szCs w:val="32"/>
        </w:rPr>
        <w:t>月</w:t>
      </w:r>
      <w:r>
        <w:rPr>
          <w:rFonts w:hint="eastAsia" w:asciiTheme="majorEastAsia" w:hAnsiTheme="majorEastAsia" w:eastAsiaTheme="majorEastAsia"/>
          <w:sz w:val="32"/>
          <w:szCs w:val="32"/>
          <w:lang w:eastAsia="zh-CN"/>
        </w:rPr>
        <w:t>二十</w:t>
      </w:r>
      <w:bookmarkStart w:id="0" w:name="_GoBack"/>
      <w:bookmarkEnd w:id="0"/>
      <w:r>
        <w:rPr>
          <w:rFonts w:asciiTheme="majorEastAsia" w:hAnsiTheme="majorEastAsia" w:eastAsiaTheme="majorEastAsia"/>
          <w:sz w:val="32"/>
          <w:szCs w:val="32"/>
        </w:rPr>
        <w:t>日</w:t>
      </w:r>
    </w:p>
    <w:p/>
    <w:p/>
    <w:p/>
    <w:p/>
    <w:p/>
    <w:p/>
    <w:p/>
    <w:p>
      <w:pPr>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目 录</w:t>
      </w:r>
    </w:p>
    <w:p>
      <w:pPr>
        <w:jc w:val="center"/>
        <w:rPr>
          <w:rFonts w:hint="eastAsia" w:asciiTheme="minorEastAsia" w:hAnsiTheme="minorEastAsia" w:eastAsiaTheme="minorEastAsia" w:cstheme="minorEastAsia"/>
          <w:sz w:val="48"/>
          <w:szCs w:val="48"/>
        </w:rPr>
      </w:pPr>
    </w:p>
    <w:p>
      <w:pPr>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第一部分 </w:t>
      </w: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eastAsiaTheme="minorEastAsia" w:cstheme="minorEastAsia"/>
          <w:b/>
          <w:sz w:val="32"/>
          <w:szCs w:val="32"/>
        </w:rPr>
        <w:t>部门概况</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一、机构设置</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二、主要职能  </w:t>
      </w:r>
    </w:p>
    <w:p>
      <w:pPr>
        <w:jc w:val="center"/>
        <w:rPr>
          <w:rFonts w:hint="eastAsia" w:asciiTheme="minorEastAsia" w:hAnsiTheme="minorEastAsia" w:eastAsiaTheme="minorEastAsia" w:cstheme="minorEastAsia"/>
          <w:b/>
          <w:sz w:val="32"/>
          <w:szCs w:val="32"/>
        </w:rPr>
      </w:pPr>
    </w:p>
    <w:p>
      <w:pPr>
        <w:jc w:val="center"/>
        <w:rPr>
          <w:rFonts w:hint="eastAsia" w:asciiTheme="minorEastAsia" w:hAnsiTheme="minorEastAsia" w:eastAsiaTheme="minorEastAsia" w:cstheme="minorEastAsia"/>
          <w:b/>
          <w:sz w:val="32"/>
          <w:szCs w:val="32"/>
        </w:rPr>
      </w:pP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32"/>
          <w:szCs w:val="32"/>
        </w:rPr>
        <w:t xml:space="preserve">第二部分 </w:t>
      </w: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eastAsiaTheme="minorEastAsia" w:cstheme="minorEastAsia"/>
          <w:b/>
          <w:sz w:val="32"/>
          <w:szCs w:val="32"/>
        </w:rPr>
        <w:t>201</w:t>
      </w:r>
      <w:r>
        <w:rPr>
          <w:rFonts w:hint="eastAsia" w:asciiTheme="minorEastAsia" w:hAnsiTheme="minorEastAsia" w:eastAsiaTheme="minorEastAsia" w:cstheme="minorEastAsia"/>
          <w:b/>
          <w:sz w:val="32"/>
          <w:szCs w:val="32"/>
          <w:lang w:val="en-US" w:eastAsia="zh-CN"/>
        </w:rPr>
        <w:t>6</w:t>
      </w:r>
      <w:r>
        <w:rPr>
          <w:rFonts w:hint="eastAsia" w:asciiTheme="minorEastAsia" w:hAnsiTheme="minorEastAsia" w:eastAsiaTheme="minorEastAsia" w:cstheme="minorEastAsia"/>
          <w:b/>
          <w:sz w:val="32"/>
          <w:szCs w:val="32"/>
        </w:rPr>
        <w:t>年部门决算表</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表一：</w:t>
      </w:r>
      <w:r>
        <w:rPr>
          <w:rFonts w:hint="eastAsia" w:asciiTheme="minorEastAsia" w:hAnsiTheme="minorEastAsia" w:eastAsiaTheme="minorEastAsia" w:cstheme="minorEastAsia"/>
          <w:b/>
          <w:color w:val="000000"/>
          <w:sz w:val="32"/>
          <w:szCs w:val="32"/>
        </w:rPr>
        <w:t>收入支出</w:t>
      </w:r>
      <w:r>
        <w:rPr>
          <w:rFonts w:hint="eastAsia" w:asciiTheme="minorEastAsia" w:hAnsiTheme="minorEastAsia" w:eastAsiaTheme="minorEastAsia" w:cstheme="minorEastAsia"/>
          <w:b/>
          <w:color w:val="000000"/>
          <w:sz w:val="32"/>
          <w:szCs w:val="32"/>
          <w:lang w:eastAsia="zh-CN"/>
        </w:rPr>
        <w:t>决算</w:t>
      </w:r>
      <w:r>
        <w:rPr>
          <w:rFonts w:hint="eastAsia" w:asciiTheme="minorEastAsia" w:hAnsiTheme="minorEastAsia" w:eastAsiaTheme="minorEastAsia" w:cstheme="minorEastAsia"/>
          <w:b/>
          <w:color w:val="000000"/>
          <w:sz w:val="32"/>
          <w:szCs w:val="32"/>
        </w:rPr>
        <w:t>总表</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表二：</w:t>
      </w:r>
      <w:r>
        <w:rPr>
          <w:rFonts w:hint="eastAsia" w:asciiTheme="minorEastAsia" w:hAnsiTheme="minorEastAsia" w:eastAsiaTheme="minorEastAsia" w:cstheme="minorEastAsia"/>
          <w:b/>
          <w:color w:val="000000"/>
          <w:sz w:val="32"/>
          <w:szCs w:val="32"/>
        </w:rPr>
        <w:t>收入</w:t>
      </w:r>
      <w:r>
        <w:rPr>
          <w:rFonts w:hint="eastAsia" w:asciiTheme="minorEastAsia" w:hAnsiTheme="minorEastAsia" w:eastAsiaTheme="minorEastAsia" w:cstheme="minorEastAsia"/>
          <w:b/>
          <w:color w:val="000000"/>
          <w:sz w:val="32"/>
          <w:szCs w:val="32"/>
          <w:lang w:eastAsia="zh-CN"/>
        </w:rPr>
        <w:t>决</w:t>
      </w:r>
      <w:r>
        <w:rPr>
          <w:rFonts w:hint="eastAsia" w:asciiTheme="minorEastAsia" w:hAnsiTheme="minorEastAsia" w:eastAsiaTheme="minorEastAsia" w:cstheme="minorEastAsia"/>
          <w:b/>
          <w:color w:val="000000"/>
          <w:sz w:val="32"/>
          <w:szCs w:val="32"/>
        </w:rPr>
        <w:t>算表</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表三：</w:t>
      </w:r>
      <w:r>
        <w:rPr>
          <w:rFonts w:hint="eastAsia" w:asciiTheme="minorEastAsia" w:hAnsiTheme="minorEastAsia" w:eastAsiaTheme="minorEastAsia" w:cstheme="minorEastAsia"/>
          <w:b/>
          <w:color w:val="000000"/>
          <w:sz w:val="32"/>
          <w:szCs w:val="32"/>
        </w:rPr>
        <w:t>支出</w:t>
      </w:r>
      <w:r>
        <w:rPr>
          <w:rFonts w:hint="eastAsia" w:asciiTheme="minorEastAsia" w:hAnsiTheme="minorEastAsia" w:eastAsiaTheme="minorEastAsia" w:cstheme="minorEastAsia"/>
          <w:b/>
          <w:color w:val="000000"/>
          <w:sz w:val="32"/>
          <w:szCs w:val="32"/>
          <w:lang w:eastAsia="zh-CN"/>
        </w:rPr>
        <w:t>决</w:t>
      </w:r>
      <w:r>
        <w:rPr>
          <w:rFonts w:hint="eastAsia" w:asciiTheme="minorEastAsia" w:hAnsiTheme="minorEastAsia" w:eastAsiaTheme="minorEastAsia" w:cstheme="minorEastAsia"/>
          <w:b/>
          <w:color w:val="000000"/>
          <w:sz w:val="32"/>
          <w:szCs w:val="32"/>
        </w:rPr>
        <w:t>算表</w:t>
      </w:r>
      <w:r>
        <w:rPr>
          <w:rFonts w:hint="eastAsia" w:asciiTheme="minorEastAsia" w:hAnsiTheme="minorEastAsia" w:eastAsiaTheme="minorEastAsia" w:cstheme="minorEastAsia"/>
          <w:b/>
          <w:sz w:val="32"/>
          <w:szCs w:val="32"/>
        </w:rPr>
        <w:t xml:space="preserve"> </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表四：</w:t>
      </w:r>
      <w:r>
        <w:rPr>
          <w:rFonts w:hint="eastAsia" w:asciiTheme="minorEastAsia" w:hAnsiTheme="minorEastAsia" w:eastAsiaTheme="minorEastAsia" w:cstheme="minorEastAsia"/>
          <w:b/>
          <w:color w:val="000000"/>
          <w:sz w:val="32"/>
          <w:szCs w:val="32"/>
        </w:rPr>
        <w:t>财政拨款收入支出</w:t>
      </w:r>
      <w:r>
        <w:rPr>
          <w:rFonts w:hint="eastAsia" w:asciiTheme="minorEastAsia" w:hAnsiTheme="minorEastAsia" w:eastAsiaTheme="minorEastAsia" w:cstheme="minorEastAsia"/>
          <w:b/>
          <w:color w:val="000000"/>
          <w:sz w:val="32"/>
          <w:szCs w:val="32"/>
          <w:lang w:eastAsia="zh-CN"/>
        </w:rPr>
        <w:t>决</w:t>
      </w:r>
      <w:r>
        <w:rPr>
          <w:rFonts w:hint="eastAsia" w:asciiTheme="minorEastAsia" w:hAnsiTheme="minorEastAsia" w:eastAsiaTheme="minorEastAsia" w:cstheme="minorEastAsia"/>
          <w:b/>
          <w:color w:val="000000"/>
          <w:sz w:val="32"/>
          <w:szCs w:val="32"/>
        </w:rPr>
        <w:t>算总表</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表五：一般公共预算财政拨款支出</w:t>
      </w:r>
      <w:r>
        <w:rPr>
          <w:rFonts w:hint="eastAsia" w:asciiTheme="minorEastAsia" w:hAnsiTheme="minorEastAsia" w:eastAsiaTheme="minorEastAsia" w:cstheme="minorEastAsia"/>
          <w:b/>
          <w:sz w:val="32"/>
          <w:szCs w:val="32"/>
          <w:lang w:eastAsia="zh-CN"/>
        </w:rPr>
        <w:t>决</w:t>
      </w:r>
      <w:r>
        <w:rPr>
          <w:rFonts w:hint="eastAsia" w:asciiTheme="minorEastAsia" w:hAnsiTheme="minorEastAsia" w:eastAsiaTheme="minorEastAsia" w:cstheme="minorEastAsia"/>
          <w:b/>
          <w:sz w:val="32"/>
          <w:szCs w:val="32"/>
        </w:rPr>
        <w:t>算表</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表六：一般公共预算财政拨款基本支出</w:t>
      </w:r>
      <w:r>
        <w:rPr>
          <w:rFonts w:hint="eastAsia" w:asciiTheme="minorEastAsia" w:hAnsiTheme="minorEastAsia" w:eastAsiaTheme="minorEastAsia" w:cstheme="minorEastAsia"/>
          <w:b/>
          <w:sz w:val="32"/>
          <w:szCs w:val="32"/>
          <w:lang w:eastAsia="zh-CN"/>
        </w:rPr>
        <w:t>决</w:t>
      </w:r>
      <w:r>
        <w:rPr>
          <w:rFonts w:hint="eastAsia" w:asciiTheme="minorEastAsia" w:hAnsiTheme="minorEastAsia" w:eastAsiaTheme="minorEastAsia" w:cstheme="minorEastAsia"/>
          <w:b/>
          <w:sz w:val="32"/>
          <w:szCs w:val="32"/>
        </w:rPr>
        <w:t>算表</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表七：一般公共预算财政拨款</w:t>
      </w:r>
      <w:r>
        <w:rPr>
          <w:rFonts w:hint="eastAsia" w:asciiTheme="minorEastAsia" w:hAnsiTheme="minorEastAsia" w:eastAsiaTheme="minorEastAsia" w:cstheme="minorEastAsia"/>
          <w:b/>
          <w:color w:val="000000"/>
          <w:sz w:val="32"/>
          <w:szCs w:val="32"/>
        </w:rPr>
        <w:t>“三公”经费</w:t>
      </w:r>
      <w:r>
        <w:rPr>
          <w:rFonts w:hint="eastAsia" w:asciiTheme="minorEastAsia" w:hAnsiTheme="minorEastAsia" w:eastAsiaTheme="minorEastAsia" w:cstheme="minorEastAsia"/>
          <w:b/>
          <w:color w:val="000000"/>
          <w:sz w:val="32"/>
          <w:szCs w:val="32"/>
          <w:lang w:eastAsia="zh-CN"/>
        </w:rPr>
        <w:t>支出决算</w:t>
      </w:r>
      <w:r>
        <w:rPr>
          <w:rFonts w:hint="eastAsia" w:asciiTheme="minorEastAsia" w:hAnsiTheme="minorEastAsia" w:eastAsiaTheme="minorEastAsia" w:cstheme="minorEastAsia"/>
          <w:b/>
          <w:color w:val="000000"/>
          <w:sz w:val="32"/>
          <w:szCs w:val="32"/>
        </w:rPr>
        <w:t>表</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表八：政府性基金预算财政拨款收入支出决算表</w:t>
      </w:r>
    </w:p>
    <w:p>
      <w:pPr>
        <w:rPr>
          <w:rFonts w:hint="eastAsia" w:asciiTheme="minorEastAsia" w:hAnsiTheme="minorEastAsia" w:eastAsiaTheme="minorEastAsia" w:cstheme="minorEastAsia"/>
          <w:b/>
          <w:sz w:val="28"/>
          <w:szCs w:val="28"/>
        </w:rPr>
      </w:pPr>
    </w:p>
    <w:p>
      <w:pPr>
        <w:rPr>
          <w:rFonts w:hint="eastAsia" w:asciiTheme="minorEastAsia" w:hAnsiTheme="minorEastAsia" w:eastAsiaTheme="minorEastAsia" w:cstheme="minorEastAsia"/>
          <w:b/>
          <w:sz w:val="28"/>
          <w:szCs w:val="28"/>
        </w:rPr>
      </w:pPr>
    </w:p>
    <w:p>
      <w:pPr>
        <w:rPr>
          <w:rFonts w:hint="eastAsia" w:asciiTheme="minorEastAsia" w:hAnsiTheme="minorEastAsia" w:eastAsiaTheme="minorEastAsia" w:cstheme="minorEastAsia"/>
          <w:b/>
          <w:sz w:val="28"/>
          <w:szCs w:val="28"/>
        </w:rPr>
      </w:pPr>
    </w:p>
    <w:p>
      <w:pPr>
        <w:rPr>
          <w:rFonts w:hint="eastAsia" w:asciiTheme="minorEastAsia" w:hAnsiTheme="minorEastAsia" w:eastAsiaTheme="minorEastAsia" w:cstheme="minorEastAsia"/>
          <w:b/>
          <w:sz w:val="28"/>
          <w:szCs w:val="28"/>
        </w:rPr>
      </w:pPr>
    </w:p>
    <w:p>
      <w:pP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第一部分</w:t>
      </w:r>
      <w:r>
        <w:rPr>
          <w:rFonts w:hint="eastAsia" w:asciiTheme="minorEastAsia" w:hAnsiTheme="minorEastAsia" w:eastAsiaTheme="minorEastAsia" w:cstheme="minorEastAsia"/>
          <w:b/>
          <w:sz w:val="36"/>
          <w:szCs w:val="36"/>
          <w:lang w:val="en-US" w:eastAsia="zh-CN"/>
        </w:rPr>
        <w:t xml:space="preserve"> </w:t>
      </w:r>
      <w:r>
        <w:rPr>
          <w:rFonts w:hint="eastAsia" w:asciiTheme="minorEastAsia" w:hAnsiTheme="minorEastAsia" w:eastAsiaTheme="minorEastAsia" w:cstheme="minorEastAsia"/>
          <w:b/>
          <w:sz w:val="36"/>
          <w:szCs w:val="36"/>
        </w:rPr>
        <w:t xml:space="preserve"> 部门概况</w:t>
      </w:r>
    </w:p>
    <w:p>
      <w:pPr>
        <w:spacing w:line="500" w:lineRule="exact"/>
        <w:ind w:firstLine="640" w:firstLineChars="200"/>
        <w:rPr>
          <w:rFonts w:hint="eastAsia" w:asciiTheme="minorEastAsia" w:hAnsiTheme="minorEastAsia" w:eastAsiaTheme="minorEastAsia" w:cstheme="minorEastAsia"/>
          <w:sz w:val="32"/>
          <w:szCs w:val="32"/>
        </w:rPr>
      </w:pPr>
    </w:p>
    <w:p>
      <w:pPr>
        <w:numPr>
          <w:ilvl w:val="0"/>
          <w:numId w:val="0"/>
        </w:numPr>
        <w:spacing w:line="500" w:lineRule="exac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 xml:space="preserve">    一、</w:t>
      </w:r>
      <w:r>
        <w:rPr>
          <w:rFonts w:hint="eastAsia" w:asciiTheme="minorEastAsia" w:hAnsiTheme="minorEastAsia" w:eastAsiaTheme="minorEastAsia" w:cstheme="minorEastAsia"/>
          <w:b/>
          <w:bCs/>
          <w:sz w:val="32"/>
          <w:szCs w:val="32"/>
          <w:lang w:eastAsia="zh-CN"/>
        </w:rPr>
        <w:t>机构设置</w:t>
      </w:r>
    </w:p>
    <w:p>
      <w:pPr>
        <w:numPr>
          <w:ilvl w:val="0"/>
          <w:numId w:val="0"/>
        </w:numPr>
        <w:spacing w:line="500" w:lineRule="exact"/>
        <w:rPr>
          <w:rFonts w:hint="eastAsia" w:ascii="微软雅黑" w:hAnsi="微软雅黑" w:eastAsia="微软雅黑" w:cs="微软雅黑"/>
          <w:sz w:val="28"/>
          <w:szCs w:val="28"/>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微软雅黑" w:hAnsi="微软雅黑" w:eastAsia="微软雅黑" w:cs="微软雅黑"/>
          <w:sz w:val="28"/>
          <w:szCs w:val="28"/>
        </w:rPr>
        <w:t>通化县人民法院为正科级建制，现设有立案一庭、立案二庭、刑事审判庭、民事审判一庭、民事审判二庭、行政审判庭，审判监督一庭、审判监督二庭、执行局（含执行科、综合科），司法警察大队，办公室，政治处（含干部科）、监察室、行政装备科、下设快大茂、二密</w:t>
      </w:r>
      <w:r>
        <w:rPr>
          <w:rFonts w:hint="eastAsia" w:ascii="微软雅黑" w:hAnsi="微软雅黑" w:eastAsia="微软雅黑" w:cs="微软雅黑"/>
          <w:sz w:val="28"/>
          <w:szCs w:val="28"/>
          <w:lang w:eastAsia="zh-CN"/>
        </w:rPr>
        <w:t>及</w:t>
      </w:r>
      <w:r>
        <w:rPr>
          <w:rFonts w:hint="eastAsia" w:ascii="微软雅黑" w:hAnsi="微软雅黑" w:eastAsia="微软雅黑" w:cs="微软雅黑"/>
          <w:sz w:val="28"/>
          <w:szCs w:val="28"/>
        </w:rPr>
        <w:t>果松三个人民法庭等 17个内设机构。</w:t>
      </w:r>
    </w:p>
    <w:p>
      <w:pPr>
        <w:numPr>
          <w:ilvl w:val="0"/>
          <w:numId w:val="1"/>
        </w:numPr>
        <w:spacing w:line="500" w:lineRule="exact"/>
        <w:ind w:firstLine="643" w:firstLineChars="200"/>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主要职能</w:t>
      </w:r>
    </w:p>
    <w:p>
      <w:pPr>
        <w:numPr>
          <w:ilvl w:val="0"/>
          <w:numId w:val="0"/>
        </w:numPr>
        <w:spacing w:line="500" w:lineRule="exact"/>
        <w:rPr>
          <w:rFonts w:hint="eastAsia" w:ascii="微软雅黑" w:hAnsi="微软雅黑" w:eastAsia="微软雅黑" w:cs="微软雅黑"/>
          <w:sz w:val="28"/>
          <w:szCs w:val="28"/>
        </w:rPr>
      </w:pPr>
      <w:r>
        <w:rPr>
          <w:rFonts w:hint="eastAsia" w:asciiTheme="minorEastAsia" w:hAnsiTheme="minorEastAsia" w:eastAsiaTheme="minorEastAsia" w:cstheme="minorEastAsia"/>
          <w:sz w:val="32"/>
          <w:szCs w:val="32"/>
          <w:lang w:val="en-US" w:eastAsia="zh-CN"/>
        </w:rPr>
        <w:t xml:space="preserve">   </w:t>
      </w:r>
      <w:r>
        <w:rPr>
          <w:rFonts w:hint="eastAsia" w:ascii="微软雅黑" w:hAnsi="微软雅黑" w:eastAsia="微软雅黑" w:cs="微软雅黑"/>
          <w:sz w:val="28"/>
          <w:szCs w:val="28"/>
          <w:lang w:val="en-US" w:eastAsia="zh-CN"/>
        </w:rPr>
        <w:t xml:space="preserve"> 1.</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立案庭负责办理人民来信、接待群众来访；立案登记工作；审查办理诉前保全及立案阶段诉讼保全、证据保全工作；办理管辖权异议、不予受理、驳回起诉案件；案件管辖工作；处理司法救助申请事宜。</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刑事审判庭负责审判法律规定应由基层人民法院管辖的第一审刑事案件，以及上级人民法院指定管辖的刑事案件。</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3.</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民事审判一庭负责审理案由为婚姻家庭继承纠纷、人格权纠纷、侵权责任纠纷、民间借贷纠纷、房地产纠纷和土地、山林等承包合同纠纷的第一审民事案件，以及上级人民法院指定管辖的民事案件。</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4.</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民事审判二庭负责审理重点企业、行政机关、事业单位等民事纠纷案件。</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5.</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行政审判庭负责审理法律规定应由基层人民法院审理的一审行政案件。</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6.</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审判监督庭负责审理申诉、抗诉、民事再审案件。</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7.</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执行局负责办理本院发生法律效力的裁判文书的执行工作及上级法院指定执行案件和外地法院委托执行的案件。</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8.</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司法警察大队负责警卫法庭、押解犯罪嫌疑人、送达有关法律文书、配合有关审判庭和执行局执行有关事项；配合有关部门维护机关安全和办公秩序。</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9.</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审判监督二庭负责案件的审判管理，月报表、季报表及审判委员会的召开、记录等工作，负责全院的网络管理、通讯设备的维护和管理。</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10.</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政治处负责全院队伍建设，协同县委主管部门做好本法院领导班子建设；开展具有法院特点的思想政治工作、宣传工作、教育培训工作和组织人事工作；协助主管部门管理本院机关和直属事业单位的机构设置、人员编制和干部人事工作；负责全院法官等级和司法警察警衔评授报批及司法警察的管理工作；负责全院的教育培训的规划工作；负责全院的法制宣传、新闻发布工作；负责本院共青团和老干部工作；负责全院人民陪审员选任和管理工作；完成院领导交办的其他工作。政治处内设干部科、研究室、书记员管理科。</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11.</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 xml:space="preserve">办公室负责重要会议的组织安排；及时传递信息，完成信息工作任务；负责文秘、机要、保密、图书、文印工作；       </w:t>
      </w:r>
    </w:p>
    <w:p>
      <w:pPr>
        <w:spacing w:line="50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12.</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监察室负责监督、检察全院法官干警执行党的路线、方针、政策、国家法律、法规、政策及工作纪律的情况；协助院党组抓好党风廉政建设；受理对全院工作人员违纪行为的检举、控告；调查处理全院工作人员违纪的行为，并根据权限做出行政处分等决定；受理全院工作人员不服政纪处分的申请；完成院领导交办的其他工作。</w:t>
      </w:r>
    </w:p>
    <w:p>
      <w:pPr>
        <w:spacing w:line="500" w:lineRule="exact"/>
        <w:ind w:firstLine="560" w:firstLineChars="200"/>
        <w:rPr>
          <w:rFonts w:hint="eastAsia" w:asciiTheme="minorEastAsia" w:hAnsiTheme="minorEastAsia" w:eastAsiaTheme="minorEastAsia" w:cstheme="minorEastAsia"/>
          <w:b/>
          <w:sz w:val="36"/>
          <w:szCs w:val="36"/>
        </w:rPr>
      </w:pPr>
      <w:r>
        <w:rPr>
          <w:rFonts w:hint="eastAsia" w:ascii="微软雅黑" w:hAnsi="微软雅黑" w:eastAsia="微软雅黑" w:cs="微软雅黑"/>
          <w:sz w:val="28"/>
          <w:szCs w:val="28"/>
          <w:lang w:val="en-US" w:eastAsia="zh-CN"/>
        </w:rPr>
        <w:t>13.</w:t>
      </w:r>
      <w:r>
        <w:rPr>
          <w:rFonts w:hint="eastAsia" w:ascii="微软雅黑" w:hAnsi="微软雅黑" w:cs="微软雅黑"/>
          <w:sz w:val="28"/>
          <w:szCs w:val="28"/>
          <w:lang w:val="en-US" w:eastAsia="zh-CN"/>
        </w:rPr>
        <w:t xml:space="preserve"> </w:t>
      </w:r>
      <w:r>
        <w:rPr>
          <w:rFonts w:hint="eastAsia" w:ascii="微软雅黑" w:hAnsi="微软雅黑" w:eastAsia="微软雅黑" w:cs="微软雅黑"/>
          <w:sz w:val="28"/>
          <w:szCs w:val="28"/>
        </w:rPr>
        <w:t>行政装备科负责对全院系统财务、装备管理提出政策性意见；管理本院各项经费和国有资产，负责装备的购置和报废工作；负责办公用品的采购以及办公机具的管理和维修；负责全院警用车辆购置、管理及机关食堂管理工作；指导基层法庭诉讼费、装备、通讯、建设等方面的工作；完成院领导交办的其他工作。</w:t>
      </w:r>
    </w:p>
    <w:p>
      <w:pPr>
        <w:jc w:val="both"/>
        <w:rPr>
          <w:rFonts w:hint="eastAsia" w:asciiTheme="minorEastAsia" w:hAnsiTheme="minorEastAsia" w:eastAsiaTheme="minorEastAsia" w:cstheme="minorEastAsia"/>
          <w:b/>
          <w:sz w:val="36"/>
          <w:szCs w:val="36"/>
        </w:rPr>
      </w:pPr>
    </w:p>
    <w:p>
      <w:pPr>
        <w:jc w:val="both"/>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第二部分</w:t>
      </w:r>
      <w:r>
        <w:rPr>
          <w:rFonts w:hint="eastAsia" w:asciiTheme="minorEastAsia" w:hAnsiTheme="minorEastAsia" w:eastAsiaTheme="minorEastAsia" w:cstheme="minorEastAsia"/>
          <w:b/>
          <w:sz w:val="36"/>
          <w:szCs w:val="36"/>
          <w:lang w:val="en-US" w:eastAsia="zh-CN"/>
        </w:rPr>
        <w:t xml:space="preserve"> </w:t>
      </w:r>
      <w:r>
        <w:rPr>
          <w:rFonts w:hint="eastAsia" w:asciiTheme="minorEastAsia" w:hAnsiTheme="minorEastAsia" w:eastAsiaTheme="minorEastAsia" w:cstheme="minorEastAsia"/>
          <w:b/>
          <w:sz w:val="36"/>
          <w:szCs w:val="36"/>
        </w:rPr>
        <w:t xml:space="preserve"> 201</w:t>
      </w:r>
      <w:r>
        <w:rPr>
          <w:rFonts w:hint="eastAsia" w:asciiTheme="minorEastAsia" w:hAnsiTheme="minorEastAsia" w:eastAsiaTheme="minorEastAsia" w:cstheme="minorEastAsia"/>
          <w:b/>
          <w:sz w:val="36"/>
          <w:szCs w:val="36"/>
          <w:lang w:val="en-US" w:eastAsia="zh-CN"/>
        </w:rPr>
        <w:t>6</w:t>
      </w:r>
      <w:r>
        <w:rPr>
          <w:rFonts w:hint="eastAsia" w:asciiTheme="minorEastAsia" w:hAnsiTheme="minorEastAsia" w:eastAsiaTheme="minorEastAsia" w:cstheme="minorEastAsia"/>
          <w:b/>
          <w:sz w:val="36"/>
          <w:szCs w:val="36"/>
        </w:rPr>
        <w:t>年部门决算表</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表一：</w:t>
      </w:r>
      <w:r>
        <w:rPr>
          <w:rFonts w:hint="eastAsia" w:asciiTheme="minorEastAsia" w:hAnsiTheme="minorEastAsia" w:eastAsiaTheme="minorEastAsia" w:cstheme="minorEastAsia"/>
          <w:b/>
          <w:color w:val="000000"/>
          <w:sz w:val="32"/>
          <w:szCs w:val="32"/>
        </w:rPr>
        <w:t>收入支出预算总表</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表二：</w:t>
      </w:r>
      <w:r>
        <w:rPr>
          <w:rFonts w:hint="eastAsia" w:asciiTheme="minorEastAsia" w:hAnsiTheme="minorEastAsia" w:eastAsiaTheme="minorEastAsia" w:cstheme="minorEastAsia"/>
          <w:b/>
          <w:color w:val="000000"/>
          <w:sz w:val="32"/>
          <w:szCs w:val="32"/>
        </w:rPr>
        <w:t>收入预算表</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表三：</w:t>
      </w:r>
      <w:r>
        <w:rPr>
          <w:rFonts w:hint="eastAsia" w:asciiTheme="minorEastAsia" w:hAnsiTheme="minorEastAsia" w:eastAsiaTheme="minorEastAsia" w:cstheme="minorEastAsia"/>
          <w:b/>
          <w:color w:val="000000"/>
          <w:sz w:val="32"/>
          <w:szCs w:val="32"/>
        </w:rPr>
        <w:t>支出预算表</w:t>
      </w:r>
      <w:r>
        <w:rPr>
          <w:rFonts w:hint="eastAsia" w:asciiTheme="minorEastAsia" w:hAnsiTheme="minorEastAsia" w:eastAsiaTheme="minorEastAsia" w:cstheme="minorEastAsia"/>
          <w:b/>
          <w:sz w:val="32"/>
          <w:szCs w:val="32"/>
        </w:rPr>
        <w:t xml:space="preserve"> </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表四：</w:t>
      </w:r>
      <w:r>
        <w:rPr>
          <w:rFonts w:hint="eastAsia" w:asciiTheme="minorEastAsia" w:hAnsiTheme="minorEastAsia" w:eastAsiaTheme="minorEastAsia" w:cstheme="minorEastAsia"/>
          <w:b/>
          <w:color w:val="000000"/>
          <w:sz w:val="32"/>
          <w:szCs w:val="32"/>
        </w:rPr>
        <w:t>财政拨款收入支出预算总表</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表五：一般公共预算财政拨款支出预算表</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表六：一般公共预算财政拨款基本支出预算表</w:t>
      </w:r>
    </w:p>
    <w:p>
      <w:pP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sz w:val="32"/>
          <w:szCs w:val="32"/>
        </w:rPr>
        <w:t>表七：</w:t>
      </w:r>
      <w:r>
        <w:rPr>
          <w:rFonts w:hint="eastAsia" w:asciiTheme="minorEastAsia" w:hAnsiTheme="minorEastAsia" w:eastAsiaTheme="minorEastAsia" w:cstheme="minorEastAsia"/>
          <w:b/>
          <w:color w:val="000000"/>
          <w:sz w:val="32"/>
          <w:szCs w:val="32"/>
        </w:rPr>
        <w:t>“三公”经费预算财政拨款情况统计表</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表八：政府性基金预算财政拨款收入支出决算表</w:t>
      </w: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8DE6B"/>
    <w:multiLevelType w:val="singleLevel"/>
    <w:tmpl w:val="5858DE6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3D42D6"/>
    <w:rsid w:val="002C2A0D"/>
    <w:rsid w:val="00323B43"/>
    <w:rsid w:val="00383306"/>
    <w:rsid w:val="003D37D8"/>
    <w:rsid w:val="003D42D6"/>
    <w:rsid w:val="004358AB"/>
    <w:rsid w:val="00683312"/>
    <w:rsid w:val="008B7726"/>
    <w:rsid w:val="00A52DC7"/>
    <w:rsid w:val="00CD5F06"/>
    <w:rsid w:val="00E97B87"/>
    <w:rsid w:val="00EC5C5F"/>
    <w:rsid w:val="00EE2429"/>
    <w:rsid w:val="12AB67A2"/>
    <w:rsid w:val="1768036A"/>
    <w:rsid w:val="1A6968EA"/>
    <w:rsid w:val="205C654C"/>
    <w:rsid w:val="231A1696"/>
    <w:rsid w:val="3A1E3890"/>
    <w:rsid w:val="3E0D7362"/>
    <w:rsid w:val="439F3827"/>
    <w:rsid w:val="528C58D7"/>
    <w:rsid w:val="6EE774A8"/>
    <w:rsid w:val="7E567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238</Words>
  <Characters>1363</Characters>
  <Lines>11</Lines>
  <Paragraphs>3</Paragraphs>
  <ScaleCrop>false</ScaleCrop>
  <LinksUpToDate>false</LinksUpToDate>
  <CharactersWithSpaces>1598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2016-12-03T08:32:00Z</dcterms:created>
  <dc:creator>User</dc:creator>
  <cp:lastModifiedBy>lenovo</cp:lastModifiedBy>
  <cp:lastPrinted>2016-12-20T08:33:00Z</cp:lastPrinted>
  <dcterms:modified xsi:type="dcterms:W3CDTF">2017-12-29T07:24:47Z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